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C628" w14:textId="77777777" w:rsidR="00720994" w:rsidRPr="005224E4" w:rsidRDefault="00B26F82" w:rsidP="00720994">
      <w:pPr>
        <w:pageBreakBefore/>
        <w:ind w:left="5664" w:right="19" w:firstLine="708"/>
        <w:jc w:val="both"/>
        <w:rPr>
          <w:rFonts w:ascii="Tahoma" w:hAnsi="Tahoma" w:cs="Tahoma"/>
          <w:b/>
          <w:iCs/>
          <w:sz w:val="20"/>
          <w:szCs w:val="20"/>
        </w:rPr>
      </w:pPr>
      <w:r w:rsidRPr="005224E4">
        <w:rPr>
          <w:rFonts w:ascii="Times New Roman" w:hAnsi="Times New Roman" w:cs="Times New Roman"/>
          <w:b/>
          <w:iCs/>
          <w:sz w:val="20"/>
          <w:szCs w:val="20"/>
        </w:rPr>
        <w:t xml:space="preserve">           </w:t>
      </w:r>
      <w:r w:rsidR="00720994" w:rsidRPr="005224E4">
        <w:rPr>
          <w:rFonts w:ascii="Tahoma" w:hAnsi="Tahoma" w:cs="Tahoma"/>
          <w:b/>
          <w:iCs/>
          <w:sz w:val="20"/>
          <w:szCs w:val="20"/>
        </w:rPr>
        <w:t>Z</w:t>
      </w:r>
      <w:r w:rsidRPr="005224E4">
        <w:rPr>
          <w:rFonts w:ascii="Tahoma" w:hAnsi="Tahoma" w:cs="Tahoma"/>
          <w:b/>
          <w:iCs/>
          <w:sz w:val="20"/>
          <w:szCs w:val="20"/>
        </w:rPr>
        <w:t>AŁĄCZNIK</w:t>
      </w:r>
      <w:r w:rsidR="00720994" w:rsidRPr="005224E4">
        <w:rPr>
          <w:rFonts w:ascii="Tahoma" w:hAnsi="Tahoma" w:cs="Tahoma"/>
          <w:b/>
          <w:iCs/>
          <w:sz w:val="20"/>
          <w:szCs w:val="20"/>
        </w:rPr>
        <w:t xml:space="preserve"> </w:t>
      </w:r>
      <w:r w:rsidR="005224E4" w:rsidRPr="005224E4">
        <w:rPr>
          <w:rFonts w:ascii="Tahoma" w:hAnsi="Tahoma" w:cs="Tahoma"/>
          <w:b/>
          <w:iCs/>
          <w:sz w:val="20"/>
          <w:szCs w:val="20"/>
        </w:rPr>
        <w:t>NR</w:t>
      </w:r>
      <w:r w:rsidR="00014F6B">
        <w:rPr>
          <w:rFonts w:ascii="Tahoma" w:hAnsi="Tahoma" w:cs="Tahoma"/>
          <w:b/>
          <w:iCs/>
          <w:sz w:val="20"/>
          <w:szCs w:val="20"/>
        </w:rPr>
        <w:t xml:space="preserve"> </w:t>
      </w:r>
      <w:r w:rsidR="00513817">
        <w:rPr>
          <w:rFonts w:ascii="Tahoma" w:hAnsi="Tahoma" w:cs="Tahoma"/>
          <w:b/>
          <w:iCs/>
          <w:sz w:val="20"/>
          <w:szCs w:val="20"/>
        </w:rPr>
        <w:t>5</w:t>
      </w:r>
    </w:p>
    <w:p w14:paraId="442B3E74" w14:textId="77777777" w:rsidR="00720994" w:rsidRPr="000B019D" w:rsidRDefault="00720994" w:rsidP="00720994">
      <w:pPr>
        <w:rPr>
          <w:rFonts w:ascii="Times New Roman" w:hAnsi="Times New Roman" w:cs="Times New Roman"/>
          <w:b/>
          <w:i/>
          <w:iCs/>
        </w:rPr>
      </w:pPr>
    </w:p>
    <w:p w14:paraId="4A07D370" w14:textId="77777777" w:rsidR="00720994" w:rsidRPr="000B019D" w:rsidRDefault="00720994" w:rsidP="00720994">
      <w:pPr>
        <w:ind w:right="-142"/>
        <w:rPr>
          <w:rFonts w:ascii="Times New Roman" w:eastAsia="Calibri" w:hAnsi="Times New Roman" w:cs="Times New Roman"/>
          <w:i/>
          <w:sz w:val="18"/>
          <w:szCs w:val="18"/>
        </w:rPr>
      </w:pPr>
      <w:r w:rsidRPr="000B019D">
        <w:rPr>
          <w:rFonts w:ascii="Times New Roman" w:eastAsia="Calibri" w:hAnsi="Times New Roman" w:cs="Times New Roman"/>
          <w:sz w:val="20"/>
          <w:szCs w:val="20"/>
        </w:rPr>
        <w:t xml:space="preserve">.....................................................................    </w:t>
      </w:r>
      <w:r w:rsidRPr="000B019D">
        <w:rPr>
          <w:rFonts w:ascii="Times New Roman" w:eastAsia="Calibri" w:hAnsi="Times New Roman" w:cs="Times New Roman"/>
          <w:sz w:val="20"/>
          <w:szCs w:val="20"/>
        </w:rPr>
        <w:tab/>
      </w:r>
      <w:r w:rsidRPr="000B019D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>
        <w:rPr>
          <w:rFonts w:ascii="Times New Roman" w:eastAsia="Calibri" w:hAnsi="Times New Roman" w:cs="Times New Roman"/>
          <w:sz w:val="20"/>
          <w:szCs w:val="20"/>
        </w:rPr>
        <w:tab/>
      </w:r>
    </w:p>
    <w:p w14:paraId="29474DB9" w14:textId="38CD3C97" w:rsidR="00720994" w:rsidRPr="004D77C3" w:rsidRDefault="00720994" w:rsidP="00720994">
      <w:pPr>
        <w:rPr>
          <w:rFonts w:ascii="Tahoma" w:eastAsia="Calibri" w:hAnsi="Tahoma" w:cs="Tahoma"/>
          <w:iCs/>
          <w:sz w:val="18"/>
          <w:szCs w:val="18"/>
        </w:rPr>
      </w:pPr>
      <w:r w:rsidRPr="004D77C3">
        <w:rPr>
          <w:rFonts w:ascii="Tahoma" w:eastAsia="Calibri" w:hAnsi="Tahoma" w:cs="Tahoma"/>
          <w:iCs/>
          <w:sz w:val="18"/>
          <w:szCs w:val="18"/>
        </w:rPr>
        <w:t xml:space="preserve">Nazwa (firma) albo imię i nazwisko, siedziba                                                                                               </w:t>
      </w:r>
    </w:p>
    <w:p w14:paraId="2F7D8A79" w14:textId="77777777" w:rsidR="00B735ED" w:rsidRPr="004D77C3" w:rsidRDefault="00720994" w:rsidP="00720994">
      <w:pPr>
        <w:rPr>
          <w:rFonts w:ascii="Tahoma" w:eastAsia="Calibri" w:hAnsi="Tahoma" w:cs="Tahoma"/>
          <w:iCs/>
          <w:sz w:val="18"/>
          <w:szCs w:val="18"/>
        </w:rPr>
      </w:pPr>
      <w:r w:rsidRPr="004D77C3">
        <w:rPr>
          <w:rFonts w:ascii="Tahoma" w:eastAsia="Calibri" w:hAnsi="Tahoma" w:cs="Tahoma"/>
          <w:iCs/>
          <w:sz w:val="18"/>
          <w:szCs w:val="18"/>
        </w:rPr>
        <w:t>albo miejsce zamieszkania i adres Wykonawcy</w:t>
      </w:r>
    </w:p>
    <w:p w14:paraId="7E361CBE" w14:textId="77777777" w:rsidR="00817F36" w:rsidRPr="004D77C3" w:rsidRDefault="00817F36" w:rsidP="00817F36">
      <w:pPr>
        <w:spacing w:after="0" w:line="240" w:lineRule="auto"/>
        <w:jc w:val="right"/>
        <w:rPr>
          <w:rFonts w:ascii="Tahoma" w:eastAsia="Times New Roman" w:hAnsi="Tahoma" w:cs="Tahoma"/>
          <w:iCs/>
          <w:sz w:val="19"/>
          <w:szCs w:val="19"/>
          <w:lang w:eastAsia="pl-PL"/>
        </w:rPr>
      </w:pPr>
      <w:r w:rsidRPr="004D77C3">
        <w:rPr>
          <w:rFonts w:ascii="Tahoma" w:eastAsia="Times New Roman" w:hAnsi="Tahoma" w:cs="Tahoma"/>
          <w:iCs/>
          <w:sz w:val="19"/>
          <w:szCs w:val="19"/>
          <w:lang w:eastAsia="pl-PL"/>
        </w:rPr>
        <w:t>....................................................</w:t>
      </w:r>
    </w:p>
    <w:p w14:paraId="7CF9AE97" w14:textId="77777777" w:rsidR="00817F36" w:rsidRPr="004D77C3" w:rsidRDefault="00817F36" w:rsidP="00817F36">
      <w:pPr>
        <w:spacing w:after="0" w:line="360" w:lineRule="auto"/>
        <w:ind w:left="6480"/>
        <w:jc w:val="center"/>
        <w:rPr>
          <w:rFonts w:ascii="Tahoma" w:eastAsia="Times New Roman" w:hAnsi="Tahoma" w:cs="Tahoma"/>
          <w:iCs/>
          <w:sz w:val="19"/>
          <w:szCs w:val="19"/>
          <w:lang w:eastAsia="pl-PL"/>
        </w:rPr>
      </w:pPr>
      <w:r w:rsidRPr="004D77C3">
        <w:rPr>
          <w:rFonts w:ascii="Tahoma" w:eastAsia="Times New Roman" w:hAnsi="Tahoma" w:cs="Tahoma"/>
          <w:iCs/>
          <w:sz w:val="19"/>
          <w:szCs w:val="19"/>
          <w:lang w:eastAsia="pl-PL"/>
        </w:rPr>
        <w:t>Miejscowość, data</w:t>
      </w:r>
    </w:p>
    <w:p w14:paraId="11ABC394" w14:textId="77777777" w:rsidR="00720994" w:rsidRPr="007C1DCF" w:rsidRDefault="00720994" w:rsidP="00086E7A">
      <w:pPr>
        <w:spacing w:after="120" w:line="276" w:lineRule="auto"/>
        <w:rPr>
          <w:rFonts w:ascii="Tahoma" w:hAnsi="Tahoma" w:cs="Tahoma"/>
          <w:b/>
          <w:sz w:val="28"/>
          <w:u w:val="single"/>
        </w:rPr>
      </w:pPr>
    </w:p>
    <w:p w14:paraId="057ACDD3" w14:textId="469B67E4" w:rsidR="00720994" w:rsidRPr="00A14938" w:rsidRDefault="00720994" w:rsidP="00720994">
      <w:pPr>
        <w:spacing w:after="120" w:line="276" w:lineRule="auto"/>
        <w:jc w:val="center"/>
        <w:rPr>
          <w:rFonts w:ascii="Tahoma" w:hAnsi="Tahoma" w:cs="Tahoma"/>
          <w:b/>
          <w:sz w:val="28"/>
        </w:rPr>
      </w:pPr>
      <w:r w:rsidRPr="00A14938">
        <w:rPr>
          <w:rFonts w:ascii="Tahoma" w:hAnsi="Tahoma" w:cs="Tahoma"/>
          <w:b/>
          <w:sz w:val="28"/>
        </w:rPr>
        <w:t>OŚWIADCZENIE</w:t>
      </w:r>
      <w:r w:rsidR="00C234CB" w:rsidRPr="00A14938">
        <w:rPr>
          <w:rFonts w:ascii="Tahoma" w:hAnsi="Tahoma" w:cs="Tahoma"/>
          <w:b/>
          <w:sz w:val="28"/>
        </w:rPr>
        <w:t xml:space="preserve"> </w:t>
      </w:r>
      <w:r w:rsidR="005E21A2" w:rsidRPr="00A14938">
        <w:rPr>
          <w:rFonts w:ascii="Tahoma" w:hAnsi="Tahoma" w:cs="Tahoma"/>
          <w:b/>
          <w:sz w:val="28"/>
        </w:rPr>
        <w:t xml:space="preserve">WYKONAWCY </w:t>
      </w:r>
      <w:r w:rsidR="00DA0529" w:rsidRPr="00A14938">
        <w:rPr>
          <w:rFonts w:ascii="Tahoma" w:hAnsi="Tahoma" w:cs="Tahoma"/>
          <w:b/>
          <w:sz w:val="28"/>
        </w:rPr>
        <w:br/>
      </w:r>
      <w:r w:rsidR="005E21A2" w:rsidRPr="00A14938">
        <w:rPr>
          <w:rFonts w:ascii="Tahoma" w:hAnsi="Tahoma" w:cs="Tahoma"/>
          <w:b/>
          <w:sz w:val="28"/>
        </w:rPr>
        <w:t>O BRAKU PODSTAW WYKLUCZENIA</w:t>
      </w:r>
    </w:p>
    <w:p w14:paraId="5336CEF3" w14:textId="77777777" w:rsidR="00720994" w:rsidRPr="007C1DCF" w:rsidRDefault="00720994" w:rsidP="00720994">
      <w:pPr>
        <w:spacing w:after="120" w:line="276" w:lineRule="auto"/>
        <w:jc w:val="center"/>
        <w:rPr>
          <w:rFonts w:ascii="Tahoma" w:hAnsi="Tahoma" w:cs="Tahoma"/>
          <w:b/>
          <w:sz w:val="28"/>
          <w:u w:val="single"/>
        </w:rPr>
      </w:pPr>
    </w:p>
    <w:p w14:paraId="4A777F35" w14:textId="12BCA0BC" w:rsidR="005E21A2" w:rsidRPr="00BB4DDF" w:rsidRDefault="00C35270" w:rsidP="00DA052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ahoma" w:eastAsia="Times New Roman" w:hAnsi="Tahoma" w:cs="Tahoma"/>
          <w:b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sz w:val="19"/>
          <w:szCs w:val="19"/>
          <w:lang w:eastAsia="pl-PL"/>
        </w:rPr>
        <w:t>W związku ze złożeniem oferty w postępowaniu o udzielenie zamówienia publicznego</w:t>
      </w:r>
      <w:r w:rsidR="00ED79CF" w:rsidRPr="007C1DCF">
        <w:rPr>
          <w:rFonts w:ascii="Tahoma" w:eastAsia="Times New Roman" w:hAnsi="Tahoma" w:cs="Tahoma"/>
          <w:sz w:val="19"/>
          <w:szCs w:val="19"/>
          <w:lang w:eastAsia="pl-PL"/>
        </w:rPr>
        <w:t xml:space="preserve"> </w:t>
      </w:r>
      <w:r w:rsidR="00ED79CF" w:rsidRPr="00C96D64">
        <w:rPr>
          <w:rFonts w:ascii="Tahoma" w:eastAsia="Times New Roman" w:hAnsi="Tahoma" w:cs="Tahoma"/>
          <w:b/>
          <w:sz w:val="19"/>
          <w:szCs w:val="19"/>
          <w:lang w:eastAsia="pl-PL"/>
        </w:rPr>
        <w:t>PN-</w:t>
      </w:r>
      <w:r w:rsidR="004D77C3">
        <w:rPr>
          <w:rFonts w:ascii="Tahoma" w:eastAsia="Times New Roman" w:hAnsi="Tahoma" w:cs="Tahoma"/>
          <w:b/>
          <w:sz w:val="19"/>
          <w:szCs w:val="19"/>
          <w:lang w:eastAsia="pl-PL"/>
        </w:rPr>
        <w:t>28</w:t>
      </w:r>
      <w:r w:rsidR="00BB4DDF">
        <w:rPr>
          <w:rFonts w:ascii="Tahoma" w:eastAsia="Times New Roman" w:hAnsi="Tahoma" w:cs="Tahoma"/>
          <w:b/>
          <w:sz w:val="19"/>
          <w:szCs w:val="19"/>
          <w:lang w:eastAsia="pl-PL"/>
        </w:rPr>
        <w:t>/2</w:t>
      </w:r>
      <w:r w:rsidR="004D77C3">
        <w:rPr>
          <w:rFonts w:ascii="Tahoma" w:eastAsia="Times New Roman" w:hAnsi="Tahoma" w:cs="Tahoma"/>
          <w:b/>
          <w:sz w:val="19"/>
          <w:szCs w:val="19"/>
          <w:lang w:eastAsia="pl-PL"/>
        </w:rPr>
        <w:t>6</w:t>
      </w:r>
      <w:r w:rsidR="00BB4DDF">
        <w:rPr>
          <w:rFonts w:ascii="Tahoma" w:eastAsia="Times New Roman" w:hAnsi="Tahoma" w:cs="Tahoma"/>
          <w:b/>
          <w:sz w:val="19"/>
          <w:szCs w:val="19"/>
          <w:lang w:eastAsia="pl-PL"/>
        </w:rPr>
        <w:t>/</w:t>
      </w:r>
      <w:r w:rsidR="00DA0529">
        <w:rPr>
          <w:rFonts w:ascii="Tahoma" w:eastAsia="Times New Roman" w:hAnsi="Tahoma" w:cs="Tahoma"/>
          <w:b/>
          <w:sz w:val="19"/>
          <w:szCs w:val="19"/>
          <w:lang w:eastAsia="pl-PL"/>
        </w:rPr>
        <w:t>14</w:t>
      </w:r>
      <w:r w:rsidR="00170E81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 </w:t>
      </w:r>
      <w:r w:rsidR="00ED79CF" w:rsidRPr="007C1DCF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– </w:t>
      </w:r>
      <w:r w:rsidR="00170E81">
        <w:rPr>
          <w:rFonts w:ascii="Tahoma" w:eastAsia="Times New Roman" w:hAnsi="Tahoma" w:cs="Tahoma"/>
          <w:b/>
          <w:sz w:val="19"/>
          <w:szCs w:val="19"/>
          <w:lang w:eastAsia="pl-PL"/>
        </w:rPr>
        <w:t>„</w:t>
      </w:r>
      <w:r w:rsidR="004D77C3" w:rsidRPr="004D77C3">
        <w:rPr>
          <w:rFonts w:ascii="Tahoma" w:hAnsi="Tahoma" w:cs="Tahoma"/>
          <w:b/>
          <w:bCs/>
          <w:sz w:val="19"/>
          <w:szCs w:val="19"/>
        </w:rPr>
        <w:t>Dostawa odczynników wraz z dzierżawą dwóch analizatorów parametrów krytycznych, analizatora do elektroforezy kapilarnej, analizatora testów immunoenzymatycznych oraz dostawa szybkich testów wykrywających narkotyki i dopalacze wraz z analizatorem na okres trzech lat do ZLDP w Uniwersyteckim Dziecięcym Szpitalu Klinicznym w Białymstoku</w:t>
      </w:r>
      <w:r w:rsidR="00BB511E" w:rsidRPr="009B6A6E">
        <w:rPr>
          <w:rFonts w:ascii="Tahoma" w:eastAsia="Times New Roman" w:hAnsi="Tahoma" w:cs="Tahoma"/>
          <w:b/>
          <w:i/>
          <w:sz w:val="19"/>
          <w:szCs w:val="19"/>
          <w:lang w:eastAsia="pl-PL"/>
        </w:rPr>
        <w:t>”</w:t>
      </w:r>
      <w:r w:rsidR="00BB511E">
        <w:rPr>
          <w:rFonts w:ascii="Tahoma" w:eastAsia="Times New Roman" w:hAnsi="Tahoma" w:cs="Tahoma"/>
          <w:b/>
          <w:sz w:val="19"/>
          <w:szCs w:val="19"/>
          <w:lang w:eastAsia="pl-PL"/>
        </w:rPr>
        <w:t xml:space="preserve"> </w:t>
      </w:r>
      <w:r w:rsidR="00086E7A" w:rsidRPr="00DA0529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>prowadzonego przez Uniwersy</w:t>
      </w:r>
      <w:r w:rsidR="0005769B" w:rsidRPr="00DA0529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 xml:space="preserve">tecki </w:t>
      </w:r>
      <w:r w:rsidR="00DA0529" w:rsidRPr="00DA0529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>Dziecięcy</w:t>
      </w:r>
      <w:r w:rsidR="0005769B" w:rsidRPr="00DA0529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 xml:space="preserve"> Szpital Kliniczn</w:t>
      </w:r>
      <w:r w:rsidR="00086E7A" w:rsidRPr="00DA0529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>y w Białymstoku</w:t>
      </w:r>
      <w:r w:rsidR="007F119F" w:rsidRPr="00DA0529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 xml:space="preserve">, </w:t>
      </w:r>
      <w:r w:rsidR="007F119F">
        <w:rPr>
          <w:rFonts w:ascii="Tahoma" w:eastAsia="Times New Roman" w:hAnsi="Tahoma" w:cs="Tahoma"/>
          <w:sz w:val="19"/>
          <w:szCs w:val="19"/>
          <w:lang w:eastAsia="pl-PL"/>
        </w:rPr>
        <w:t>o</w:t>
      </w:r>
      <w:r w:rsidR="00086E7A" w:rsidRPr="007C1DCF">
        <w:rPr>
          <w:rFonts w:ascii="Tahoma" w:eastAsia="Times New Roman" w:hAnsi="Tahoma" w:cs="Tahoma"/>
          <w:sz w:val="19"/>
          <w:szCs w:val="19"/>
          <w:lang w:eastAsia="pl-PL"/>
        </w:rPr>
        <w:t xml:space="preserve">świadczam, </w:t>
      </w:r>
      <w:r w:rsidR="005E21A2" w:rsidRPr="00DA0529">
        <w:rPr>
          <w:rFonts w:ascii="Tahoma" w:eastAsia="Times New Roman" w:hAnsi="Tahoma" w:cs="Tahoma"/>
          <w:sz w:val="19"/>
          <w:szCs w:val="19"/>
          <w:lang w:eastAsia="pl-PL"/>
        </w:rPr>
        <w:t xml:space="preserve">o braku podstaw wykluczenia w zakresie podstaw wykluczenia z postępowania wskazanych przez </w:t>
      </w:r>
      <w:r w:rsidR="00136939">
        <w:rPr>
          <w:rFonts w:ascii="Tahoma" w:eastAsia="Times New Roman" w:hAnsi="Tahoma" w:cs="Tahoma"/>
          <w:sz w:val="19"/>
          <w:szCs w:val="19"/>
          <w:lang w:eastAsia="pl-PL"/>
        </w:rPr>
        <w:t>Z</w:t>
      </w:r>
      <w:r w:rsidR="005E21A2" w:rsidRPr="00DA0529">
        <w:rPr>
          <w:rFonts w:ascii="Tahoma" w:eastAsia="Times New Roman" w:hAnsi="Tahoma" w:cs="Tahoma"/>
          <w:sz w:val="19"/>
          <w:szCs w:val="19"/>
          <w:lang w:eastAsia="pl-PL"/>
        </w:rPr>
        <w:t xml:space="preserve">amawiającego, o których mowa w: </w:t>
      </w:r>
    </w:p>
    <w:p w14:paraId="6557F595" w14:textId="77777777" w:rsidR="00086E7A" w:rsidRPr="007C1DCF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bCs/>
          <w:sz w:val="19"/>
          <w:szCs w:val="19"/>
          <w:lang w:eastAsia="pl-PL"/>
        </w:rPr>
        <w:t>a) art. 108 ust. 1 pkt 3 ustawy,</w:t>
      </w:r>
    </w:p>
    <w:p w14:paraId="7A755374" w14:textId="77777777" w:rsidR="00086E7A" w:rsidRPr="007C1DCF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7C1DCF">
        <w:rPr>
          <w:rFonts w:ascii="Tahoma" w:eastAsia="Times New Roman" w:hAnsi="Tahoma" w:cs="Tahoma"/>
          <w:bCs/>
          <w:sz w:val="19"/>
          <w:szCs w:val="19"/>
          <w:lang w:eastAsia="pl-PL"/>
        </w:rPr>
        <w:t>b) art. 108 ust. 1 pkt 4 ustawy, dotyczących orzeczenia zakazu ubiegania się o zamówienie publiczne tytułem środka zapobiegawczego,</w:t>
      </w:r>
    </w:p>
    <w:p w14:paraId="020F92CA" w14:textId="5338AEBC"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c) art. 108 ust. 1 pkt 5 ustawy, dotyczących zawarcia z innymi </w:t>
      </w:r>
      <w:r w:rsidR="00136939">
        <w:rPr>
          <w:rFonts w:ascii="Tahoma" w:eastAsia="Times New Roman" w:hAnsi="Tahoma" w:cs="Tahoma"/>
          <w:bCs/>
          <w:sz w:val="19"/>
          <w:szCs w:val="19"/>
          <w:lang w:eastAsia="pl-PL"/>
        </w:rPr>
        <w:t>W</w:t>
      </w: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ykonawcami porozumienia mającego na celu zakłócenie konkurencji,</w:t>
      </w:r>
    </w:p>
    <w:p w14:paraId="2A7EF66C" w14:textId="77777777"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d) art. 108 ust. 1 pkt 6 ustawy,</w:t>
      </w:r>
    </w:p>
    <w:p w14:paraId="63C05910" w14:textId="14CD9A1E"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e) art. 109 ust. 1 pkt 1 ustawy, odnośnie do naruszenia obowiązków dotyczących płatności podatków i opłat lokalnych, o których mowa w ustawie z dnia 12 stycznia 1991 r. o podatkach i opłatach lokalnych </w:t>
      </w:r>
      <w:r w:rsidR="00136939">
        <w:rPr>
          <w:rFonts w:ascii="Tahoma" w:eastAsia="Times New Roman" w:hAnsi="Tahoma" w:cs="Tahoma"/>
          <w:bCs/>
          <w:sz w:val="19"/>
          <w:szCs w:val="19"/>
          <w:lang w:eastAsia="pl-PL"/>
        </w:rPr>
        <w:br/>
      </w:r>
      <w:r w:rsidR="00F1517A">
        <w:rPr>
          <w:rFonts w:ascii="Tahoma" w:eastAsia="Times New Roman" w:hAnsi="Tahoma" w:cs="Tahoma"/>
          <w:bCs/>
          <w:sz w:val="19"/>
          <w:szCs w:val="19"/>
          <w:lang w:eastAsia="pl-PL"/>
        </w:rPr>
        <w:t>(</w:t>
      </w:r>
      <w:r w:rsidR="00F1517A" w:rsidRPr="00F1517A">
        <w:rPr>
          <w:rFonts w:ascii="Tahoma" w:eastAsia="Times New Roman" w:hAnsi="Tahoma" w:cs="Tahoma"/>
          <w:bCs/>
          <w:sz w:val="19"/>
          <w:szCs w:val="19"/>
          <w:lang w:eastAsia="pl-PL"/>
        </w:rPr>
        <w:t>Dz. U.</w:t>
      </w:r>
      <w:r w:rsidR="00C150EB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 </w:t>
      </w:r>
      <w:r w:rsidR="00C150EB" w:rsidRPr="00C150EB">
        <w:rPr>
          <w:rFonts w:ascii="Tahoma" w:eastAsia="Times New Roman" w:hAnsi="Tahoma" w:cs="Tahoma"/>
          <w:bCs/>
          <w:sz w:val="19"/>
          <w:szCs w:val="19"/>
          <w:lang w:eastAsia="pl-PL"/>
        </w:rPr>
        <w:t>z 2025 r. poz. 707</w:t>
      </w: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),</w:t>
      </w:r>
    </w:p>
    <w:p w14:paraId="6525A4C2" w14:textId="77777777"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f) art. 109 ust. 1 pkt 2 lit. b ustawy, dotyczących ukarania za wykroczenie, za które wymierzono karę</w:t>
      </w:r>
      <w:r w:rsidR="00BB511E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 </w:t>
      </w: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ograniczenia wolności lub karę grzywny,</w:t>
      </w:r>
    </w:p>
    <w:p w14:paraId="702EA088" w14:textId="77777777" w:rsidR="00086E7A" w:rsidRPr="00A974C2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g) art. 109 ust. 1 pkt 2 lit. c ustawy,</w:t>
      </w:r>
    </w:p>
    <w:p w14:paraId="47D17D7D" w14:textId="77777777" w:rsidR="00086E7A" w:rsidRDefault="00086E7A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h) art. 109 ust. 1 pkt 3 ustawy, dotyczących ukarania za wykroczenie, za które wymierzono karę ograniczenia wolności lub karę grzywny,</w:t>
      </w:r>
    </w:p>
    <w:p w14:paraId="4AC7F675" w14:textId="77777777" w:rsidR="004249C0" w:rsidRPr="00A974C2" w:rsidRDefault="004249C0" w:rsidP="00086E7A">
      <w:p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Cs/>
          <w:sz w:val="19"/>
          <w:szCs w:val="19"/>
          <w:lang w:eastAsia="pl-PL"/>
        </w:rPr>
        <w:t>i</w:t>
      </w:r>
      <w:r w:rsidRPr="004249C0">
        <w:rPr>
          <w:rFonts w:ascii="Tahoma" w:eastAsia="Times New Roman" w:hAnsi="Tahoma" w:cs="Tahoma"/>
          <w:bCs/>
          <w:sz w:val="19"/>
          <w:szCs w:val="19"/>
          <w:lang w:eastAsia="pl-PL"/>
        </w:rPr>
        <w:t>) art. 109 ust. 1 pkt 4) ustawy</w:t>
      </w:r>
    </w:p>
    <w:p w14:paraId="07735B47" w14:textId="77777777" w:rsidR="004D77C3" w:rsidRDefault="004249C0" w:rsidP="00086E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Cs/>
          <w:sz w:val="19"/>
          <w:szCs w:val="19"/>
          <w:lang w:eastAsia="pl-PL"/>
        </w:rPr>
        <w:t>j</w:t>
      </w:r>
      <w:r w:rsidR="00086E7A"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) art. 109 ust. 1 pkt 5–10 ustawy</w:t>
      </w:r>
      <w:r w:rsidR="004D77C3">
        <w:rPr>
          <w:rFonts w:ascii="Tahoma" w:eastAsia="Times New Roman" w:hAnsi="Tahoma" w:cs="Tahoma"/>
          <w:bCs/>
          <w:sz w:val="19"/>
          <w:szCs w:val="19"/>
          <w:lang w:eastAsia="pl-PL"/>
        </w:rPr>
        <w:t>,</w:t>
      </w:r>
    </w:p>
    <w:p w14:paraId="2691102E" w14:textId="260C8B78" w:rsidR="004D77C3" w:rsidRPr="004D77C3" w:rsidRDefault="004D77C3" w:rsidP="004D77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4D77C3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(t.j. Dz.U. z 2024 r. </w:t>
      </w:r>
      <w:r>
        <w:rPr>
          <w:rFonts w:ascii="Tahoma" w:eastAsia="Times New Roman" w:hAnsi="Tahoma" w:cs="Tahoma"/>
          <w:bCs/>
          <w:sz w:val="19"/>
          <w:szCs w:val="19"/>
          <w:lang w:eastAsia="pl-PL"/>
        </w:rPr>
        <w:br/>
      </w:r>
      <w:r w:rsidRPr="004D77C3">
        <w:rPr>
          <w:rFonts w:ascii="Tahoma" w:eastAsia="Times New Roman" w:hAnsi="Tahoma" w:cs="Tahoma"/>
          <w:bCs/>
          <w:sz w:val="19"/>
          <w:szCs w:val="19"/>
          <w:lang w:eastAsia="pl-PL"/>
        </w:rPr>
        <w:t>poz. 507 z późn. zm.),</w:t>
      </w:r>
    </w:p>
    <w:p w14:paraId="26266B43" w14:textId="77777777" w:rsidR="004D77C3" w:rsidRPr="004D77C3" w:rsidRDefault="004D77C3" w:rsidP="004D77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4D77C3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l) art. 5k rozporządzenia Rady (UE) nr 833/2014 z dnia 31 lipca 2014 r. dotyczącego środków ograniczających </w:t>
      </w:r>
    </w:p>
    <w:p w14:paraId="7446BC5E" w14:textId="1FC36529" w:rsidR="00086E7A" w:rsidRPr="00A974C2" w:rsidRDefault="004D77C3" w:rsidP="004D77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4D77C3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w związku z działaniami Rosji destabilizującymi sytuację na Ukrainie (Dz. Urz. UE nr L 229 z 31.7.2014, </w:t>
      </w:r>
      <w:r>
        <w:rPr>
          <w:rFonts w:ascii="Tahoma" w:eastAsia="Times New Roman" w:hAnsi="Tahoma" w:cs="Tahoma"/>
          <w:bCs/>
          <w:sz w:val="19"/>
          <w:szCs w:val="19"/>
          <w:lang w:eastAsia="pl-PL"/>
        </w:rPr>
        <w:br/>
      </w:r>
      <w:r w:rsidRPr="004D77C3">
        <w:rPr>
          <w:rFonts w:ascii="Tahoma" w:eastAsia="Times New Roman" w:hAnsi="Tahoma" w:cs="Tahoma"/>
          <w:bCs/>
          <w:sz w:val="19"/>
          <w:szCs w:val="19"/>
          <w:lang w:eastAsia="pl-PL"/>
        </w:rPr>
        <w:lastRenderedPageBreak/>
        <w:t>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86E7A" w:rsidRPr="00A974C2">
        <w:rPr>
          <w:rFonts w:ascii="Tahoma" w:eastAsia="Times New Roman" w:hAnsi="Tahoma" w:cs="Tahoma"/>
          <w:bCs/>
          <w:sz w:val="19"/>
          <w:szCs w:val="19"/>
          <w:lang w:eastAsia="pl-PL"/>
        </w:rPr>
        <w:t>.</w:t>
      </w:r>
    </w:p>
    <w:p w14:paraId="58B5687E" w14:textId="77777777" w:rsidR="00A974C2" w:rsidRPr="00DA0529" w:rsidRDefault="00A974C2" w:rsidP="00A974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</w:p>
    <w:p w14:paraId="42769DD6" w14:textId="77777777" w:rsidR="00A974C2" w:rsidRPr="00DA0529" w:rsidRDefault="00A974C2" w:rsidP="00ED79C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b/>
          <w:color w:val="000000"/>
          <w:sz w:val="19"/>
          <w:szCs w:val="19"/>
          <w:lang w:eastAsia="pl-PL"/>
        </w:rPr>
      </w:pPr>
      <w:r w:rsidRPr="00DA0529">
        <w:rPr>
          <w:rFonts w:ascii="Tahoma" w:eastAsia="Times New Roman" w:hAnsi="Tahoma" w:cs="Tahoma"/>
          <w:b/>
          <w:color w:val="000000"/>
          <w:sz w:val="19"/>
          <w:szCs w:val="19"/>
          <w:lang w:eastAsia="pl-PL"/>
        </w:rPr>
        <w:t>OŚWIADCZENIE DOTYCZĄCE PODANYCH INFORMACJI:</w:t>
      </w:r>
    </w:p>
    <w:p w14:paraId="5B920271" w14:textId="06E5C605" w:rsidR="00993005" w:rsidRPr="00DA0529" w:rsidRDefault="00A974C2" w:rsidP="00DA052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DA052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 xml:space="preserve">Oświadczam, że wszystkie informacje podane w powyższym oświadczeniu są zgodne z prawdą </w:t>
      </w:r>
      <w:r w:rsidR="00DA052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br/>
      </w:r>
      <w:r w:rsidRPr="00DA052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 xml:space="preserve">oraz zostały przedstawione z pełną świadomością konsekwencji wprowadzenia </w:t>
      </w:r>
      <w:r w:rsidR="0013693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Z</w:t>
      </w:r>
      <w:r w:rsidRPr="00DA052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 xml:space="preserve">amawiającego w błąd </w:t>
      </w:r>
      <w:r w:rsidR="00DA052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br/>
      </w:r>
      <w:r w:rsidRPr="00DA0529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 xml:space="preserve">przy ich przedstawieniu. </w:t>
      </w:r>
    </w:p>
    <w:sectPr w:rsidR="00993005" w:rsidRPr="00DA0529" w:rsidSect="00E0422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D33D" w14:textId="77777777" w:rsidR="00B84653" w:rsidRDefault="00B84653" w:rsidP="00C35270">
      <w:pPr>
        <w:spacing w:after="0" w:line="240" w:lineRule="auto"/>
      </w:pPr>
      <w:r>
        <w:separator/>
      </w:r>
    </w:p>
  </w:endnote>
  <w:endnote w:type="continuationSeparator" w:id="0">
    <w:p w14:paraId="4129D451" w14:textId="77777777" w:rsidR="00B84653" w:rsidRDefault="00B84653" w:rsidP="00C35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8F35B" w14:textId="77777777" w:rsidR="00B84653" w:rsidRDefault="00B84653" w:rsidP="00C35270">
      <w:pPr>
        <w:spacing w:after="0" w:line="240" w:lineRule="auto"/>
      </w:pPr>
      <w:r>
        <w:separator/>
      </w:r>
    </w:p>
  </w:footnote>
  <w:footnote w:type="continuationSeparator" w:id="0">
    <w:p w14:paraId="6C6DFACF" w14:textId="77777777" w:rsidR="00B84653" w:rsidRDefault="00B84653" w:rsidP="00C35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45173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E63"/>
    <w:rsid w:val="00007D51"/>
    <w:rsid w:val="00014F6B"/>
    <w:rsid w:val="00036E2D"/>
    <w:rsid w:val="0005769B"/>
    <w:rsid w:val="00061884"/>
    <w:rsid w:val="00085021"/>
    <w:rsid w:val="00086E7A"/>
    <w:rsid w:val="000A41F1"/>
    <w:rsid w:val="000F0067"/>
    <w:rsid w:val="00136939"/>
    <w:rsid w:val="00151127"/>
    <w:rsid w:val="00153B10"/>
    <w:rsid w:val="001630A7"/>
    <w:rsid w:val="00170E81"/>
    <w:rsid w:val="001769D3"/>
    <w:rsid w:val="00185A86"/>
    <w:rsid w:val="001973F7"/>
    <w:rsid w:val="002C7AD3"/>
    <w:rsid w:val="002E152A"/>
    <w:rsid w:val="00366A67"/>
    <w:rsid w:val="00377680"/>
    <w:rsid w:val="00386D79"/>
    <w:rsid w:val="003B0436"/>
    <w:rsid w:val="003D0A06"/>
    <w:rsid w:val="004249C0"/>
    <w:rsid w:val="004D190E"/>
    <w:rsid w:val="004D77C3"/>
    <w:rsid w:val="004E61C3"/>
    <w:rsid w:val="0050004F"/>
    <w:rsid w:val="00513817"/>
    <w:rsid w:val="005224E4"/>
    <w:rsid w:val="0054694A"/>
    <w:rsid w:val="005A2A1C"/>
    <w:rsid w:val="005D5BE4"/>
    <w:rsid w:val="005E21A2"/>
    <w:rsid w:val="005F3CD0"/>
    <w:rsid w:val="00696E63"/>
    <w:rsid w:val="006A5881"/>
    <w:rsid w:val="006C6A3E"/>
    <w:rsid w:val="006D62B0"/>
    <w:rsid w:val="00720994"/>
    <w:rsid w:val="00752E62"/>
    <w:rsid w:val="00764B79"/>
    <w:rsid w:val="007C1DCF"/>
    <w:rsid w:val="007F119F"/>
    <w:rsid w:val="007F1829"/>
    <w:rsid w:val="00817F36"/>
    <w:rsid w:val="00843530"/>
    <w:rsid w:val="00860F1E"/>
    <w:rsid w:val="008C09AF"/>
    <w:rsid w:val="00915D91"/>
    <w:rsid w:val="00927673"/>
    <w:rsid w:val="009464C1"/>
    <w:rsid w:val="00993005"/>
    <w:rsid w:val="009A570A"/>
    <w:rsid w:val="009B6A6E"/>
    <w:rsid w:val="009F057F"/>
    <w:rsid w:val="009F52A7"/>
    <w:rsid w:val="00A14938"/>
    <w:rsid w:val="00A30A85"/>
    <w:rsid w:val="00A32148"/>
    <w:rsid w:val="00A53385"/>
    <w:rsid w:val="00A54913"/>
    <w:rsid w:val="00A974C2"/>
    <w:rsid w:val="00A97F4C"/>
    <w:rsid w:val="00AD3BFD"/>
    <w:rsid w:val="00B1703C"/>
    <w:rsid w:val="00B26F82"/>
    <w:rsid w:val="00B735ED"/>
    <w:rsid w:val="00B75093"/>
    <w:rsid w:val="00B84653"/>
    <w:rsid w:val="00B9786A"/>
    <w:rsid w:val="00BA7898"/>
    <w:rsid w:val="00BB4DDF"/>
    <w:rsid w:val="00BB511E"/>
    <w:rsid w:val="00C150EB"/>
    <w:rsid w:val="00C234CB"/>
    <w:rsid w:val="00C35270"/>
    <w:rsid w:val="00C75345"/>
    <w:rsid w:val="00C96D64"/>
    <w:rsid w:val="00CA07D4"/>
    <w:rsid w:val="00CE13D6"/>
    <w:rsid w:val="00D6357E"/>
    <w:rsid w:val="00DA0529"/>
    <w:rsid w:val="00DF3CCB"/>
    <w:rsid w:val="00E04223"/>
    <w:rsid w:val="00EA21E9"/>
    <w:rsid w:val="00EC664B"/>
    <w:rsid w:val="00ED79CF"/>
    <w:rsid w:val="00F1517A"/>
    <w:rsid w:val="00F22D72"/>
    <w:rsid w:val="00F30D0D"/>
    <w:rsid w:val="00F77B53"/>
    <w:rsid w:val="00FB6CC3"/>
    <w:rsid w:val="00FC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CC946"/>
  <w15:chartTrackingRefBased/>
  <w15:docId w15:val="{096289EB-3B83-40DE-9BB6-8155FF89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994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720994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cs-CZ" w:eastAsia="pl-PL"/>
    </w:rPr>
  </w:style>
  <w:style w:type="character" w:styleId="Hipercze">
    <w:name w:val="Hyperlink"/>
    <w:basedOn w:val="Domylnaczcionkaakapitu"/>
    <w:unhideWhenUsed/>
    <w:rsid w:val="00720994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5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52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5270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 Białystok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KRAJEWSKA</dc:creator>
  <cp:keywords/>
  <dc:description/>
  <cp:lastModifiedBy>Anna Saczyńska</cp:lastModifiedBy>
  <cp:revision>51</cp:revision>
  <cp:lastPrinted>2021-09-17T06:25:00Z</cp:lastPrinted>
  <dcterms:created xsi:type="dcterms:W3CDTF">2021-08-24T07:29:00Z</dcterms:created>
  <dcterms:modified xsi:type="dcterms:W3CDTF">2026-04-21T10:25:00Z</dcterms:modified>
</cp:coreProperties>
</file>